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A7AF" w14:textId="77777777" w:rsidR="00995E71" w:rsidRDefault="00FC0679" w:rsidP="00995E71">
      <w:pPr>
        <w:shd w:val="clear" w:color="auto" w:fill="FFFFFF"/>
        <w:rPr>
          <w:rFonts w:ascii="Arial" w:hAnsi="Arial" w:cs="Arial"/>
          <w:color w:val="41464B"/>
          <w:sz w:val="21"/>
          <w:szCs w:val="21"/>
          <w:lang w:eastAsia="en-CA"/>
        </w:rPr>
      </w:pPr>
      <w:r>
        <w:rPr>
          <w:noProof/>
        </w:rPr>
        <w:drawing>
          <wp:inline distT="0" distB="0" distL="0" distR="0" wp14:anchorId="4D4741E4" wp14:editId="41B794B4">
            <wp:extent cx="2705100" cy="828675"/>
            <wp:effectExtent l="0" t="0" r="0" b="9525"/>
            <wp:docPr id="3" name="Picture 122" descr="C:\Users\pritedit\AppData\Local\Microsoft\Windows\INetCache\Content.Outlook\78ZJ70I4\CER_Letterhea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pritedit\AppData\Local\Microsoft\Windows\INetCache\Content.Outlook\78ZJ70I4\CER_Letterhead E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E0F5" w14:textId="77777777" w:rsidR="00995E71" w:rsidRDefault="00995E71" w:rsidP="00995E71">
      <w:pPr>
        <w:shd w:val="clear" w:color="auto" w:fill="FFFFFF"/>
        <w:rPr>
          <w:rFonts w:ascii="Arial" w:hAnsi="Arial" w:cs="Arial"/>
          <w:color w:val="41464B"/>
          <w:sz w:val="21"/>
          <w:szCs w:val="21"/>
          <w:lang w:eastAsia="en-CA"/>
        </w:rPr>
      </w:pPr>
    </w:p>
    <w:p w14:paraId="098ADE90" w14:textId="77777777" w:rsidR="007D227B" w:rsidRDefault="007D227B" w:rsidP="00995E71">
      <w:pPr>
        <w:jc w:val="center"/>
        <w:rPr>
          <w:rFonts w:ascii="Arial" w:hAnsi="Arial" w:cs="Arial"/>
          <w:b/>
          <w:sz w:val="21"/>
          <w:szCs w:val="21"/>
          <w:highlight w:val="cyan"/>
        </w:rPr>
      </w:pPr>
      <w:bookmarkStart w:id="0" w:name="_GoBack"/>
      <w:bookmarkEnd w:id="0"/>
    </w:p>
    <w:p w14:paraId="2F88FFB3" w14:textId="77777777" w:rsidR="00995E71" w:rsidRPr="009E3A81" w:rsidRDefault="00995E71" w:rsidP="00995E71">
      <w:pPr>
        <w:jc w:val="center"/>
        <w:rPr>
          <w:rFonts w:ascii="Arial" w:hAnsi="Arial" w:cs="Arial"/>
          <w:b/>
          <w:sz w:val="21"/>
          <w:szCs w:val="21"/>
          <w:highlight w:val="cyan"/>
        </w:rPr>
      </w:pPr>
      <w:r w:rsidRPr="009E3A81">
        <w:rPr>
          <w:rFonts w:ascii="Arial" w:hAnsi="Arial" w:cs="Arial"/>
          <w:b/>
          <w:sz w:val="21"/>
          <w:szCs w:val="21"/>
          <w:highlight w:val="cyan"/>
        </w:rPr>
        <w:t xml:space="preserve">[Company name] </w:t>
      </w:r>
    </w:p>
    <w:p w14:paraId="35C63126" w14:textId="77777777" w:rsidR="00995E71" w:rsidRPr="009257F2" w:rsidRDefault="00995E71" w:rsidP="00995E71">
      <w:pPr>
        <w:jc w:val="center"/>
        <w:rPr>
          <w:rFonts w:ascii="Arial" w:hAnsi="Arial" w:cs="Arial"/>
          <w:b/>
          <w:sz w:val="21"/>
          <w:szCs w:val="21"/>
        </w:rPr>
      </w:pPr>
      <w:r w:rsidRPr="009E3A81">
        <w:rPr>
          <w:rFonts w:ascii="Arial" w:hAnsi="Arial" w:cs="Arial"/>
          <w:b/>
          <w:sz w:val="21"/>
          <w:szCs w:val="21"/>
          <w:highlight w:val="cyan"/>
        </w:rPr>
        <w:t>[Project name]</w:t>
      </w:r>
    </w:p>
    <w:p w14:paraId="0F583E59" w14:textId="77777777" w:rsidR="00995E71" w:rsidRPr="009257F2" w:rsidRDefault="00995E71" w:rsidP="00995E71">
      <w:pPr>
        <w:jc w:val="center"/>
        <w:rPr>
          <w:rFonts w:ascii="Arial" w:hAnsi="Arial" w:cs="Arial"/>
          <w:b/>
          <w:sz w:val="21"/>
          <w:szCs w:val="21"/>
        </w:rPr>
      </w:pPr>
      <w:r w:rsidRPr="009257F2">
        <w:rPr>
          <w:rFonts w:ascii="Arial" w:hAnsi="Arial" w:cs="Arial"/>
          <w:b/>
          <w:sz w:val="21"/>
          <w:szCs w:val="21"/>
        </w:rPr>
        <w:t>Notice of Proposed Abandonment</w:t>
      </w:r>
    </w:p>
    <w:p w14:paraId="475C9102" w14:textId="77777777" w:rsidR="00995E71" w:rsidRPr="009257F2" w:rsidRDefault="00A36325" w:rsidP="00995E7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Subsection</w:t>
      </w:r>
      <w:r w:rsidR="00995E71" w:rsidRPr="009257F2">
        <w:rPr>
          <w:rFonts w:ascii="Arial" w:hAnsi="Arial" w:cs="Arial"/>
          <w:b/>
          <w:sz w:val="21"/>
          <w:szCs w:val="21"/>
        </w:rPr>
        <w:t xml:space="preserve"> 241(</w:t>
      </w:r>
      <w:r w:rsidR="00995E71">
        <w:rPr>
          <w:rFonts w:ascii="Arial" w:hAnsi="Arial" w:cs="Arial"/>
          <w:b/>
          <w:sz w:val="21"/>
          <w:szCs w:val="21"/>
        </w:rPr>
        <w:t>1</w:t>
      </w:r>
      <w:r w:rsidR="00995E71" w:rsidRPr="009257F2">
        <w:rPr>
          <w:rFonts w:ascii="Arial" w:hAnsi="Arial" w:cs="Arial"/>
          <w:b/>
          <w:sz w:val="21"/>
          <w:szCs w:val="21"/>
        </w:rPr>
        <w:t xml:space="preserve">) of the </w:t>
      </w:r>
      <w:r w:rsidR="00995E71" w:rsidRPr="009257F2">
        <w:rPr>
          <w:rFonts w:ascii="Arial" w:hAnsi="Arial" w:cs="Arial"/>
          <w:b/>
          <w:i/>
          <w:sz w:val="21"/>
          <w:szCs w:val="21"/>
        </w:rPr>
        <w:t>Canadian Energy Regulator Act</w:t>
      </w:r>
    </w:p>
    <w:p w14:paraId="4533C7CD" w14:textId="77777777" w:rsidR="00995E71" w:rsidRPr="009257F2" w:rsidRDefault="00995E71" w:rsidP="00995E71">
      <w:pPr>
        <w:jc w:val="center"/>
        <w:rPr>
          <w:rFonts w:ascii="Arial" w:hAnsi="Arial" w:cs="Arial"/>
          <w:b/>
          <w:sz w:val="21"/>
          <w:szCs w:val="21"/>
        </w:rPr>
      </w:pPr>
    </w:p>
    <w:p w14:paraId="6E84E7A6" w14:textId="6EEBDBE3" w:rsidR="00995E71" w:rsidRPr="009257F2" w:rsidRDefault="00131E4D" w:rsidP="00995E71">
      <w:pPr>
        <w:rPr>
          <w:rFonts w:ascii="Arial" w:hAnsi="Arial" w:cs="Arial"/>
          <w:sz w:val="21"/>
          <w:szCs w:val="21"/>
        </w:rPr>
      </w:pPr>
      <w:r w:rsidRPr="00131E4D">
        <w:rPr>
          <w:rFonts w:ascii="Arial" w:hAnsi="Arial" w:cs="Arial"/>
          <w:bCs/>
          <w:color w:val="000000"/>
          <w:sz w:val="21"/>
          <w:szCs w:val="21"/>
        </w:rPr>
        <w:t xml:space="preserve">On </w:t>
      </w:r>
      <w:r>
        <w:rPr>
          <w:rFonts w:ascii="Arial" w:hAnsi="Arial" w:cs="Arial"/>
          <w:bCs/>
          <w:color w:val="000000"/>
          <w:sz w:val="21"/>
          <w:szCs w:val="21"/>
          <w:highlight w:val="cyan"/>
        </w:rPr>
        <w:t>[date application was filed]</w:t>
      </w:r>
      <w:r w:rsidRPr="00131E4D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995E71"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>[Company name]</w:t>
      </w:r>
      <w:r w:rsidR="00995E71" w:rsidRPr="009257F2">
        <w:rPr>
          <w:rFonts w:ascii="Arial" w:hAnsi="Arial" w:cs="Arial"/>
          <w:bCs/>
          <w:color w:val="000000"/>
          <w:sz w:val="21"/>
          <w:szCs w:val="21"/>
        </w:rPr>
        <w:t xml:space="preserve"> has filed an application with the Commission of the Canada Energy Regulator (Commission) to abandon the </w:t>
      </w:r>
      <w:r w:rsidR="00995E71"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>[pipeline/facility name]</w:t>
      </w:r>
      <w:r w:rsidR="00995E71" w:rsidRPr="009257F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995E71" w:rsidRPr="009257F2">
        <w:rPr>
          <w:rFonts w:ascii="Arial" w:hAnsi="Arial" w:cs="Arial"/>
          <w:sz w:val="21"/>
          <w:szCs w:val="21"/>
        </w:rPr>
        <w:t xml:space="preserve">pursuant to </w:t>
      </w:r>
      <w:r w:rsidR="00A36325">
        <w:rPr>
          <w:rFonts w:ascii="Arial" w:hAnsi="Arial" w:cs="Arial"/>
          <w:sz w:val="21"/>
          <w:szCs w:val="21"/>
        </w:rPr>
        <w:t>subsection</w:t>
      </w:r>
      <w:r w:rsidR="00995E71" w:rsidRPr="009257F2">
        <w:rPr>
          <w:rFonts w:ascii="Arial" w:hAnsi="Arial" w:cs="Arial"/>
          <w:sz w:val="21"/>
          <w:szCs w:val="21"/>
        </w:rPr>
        <w:t xml:space="preserve"> 241(</w:t>
      </w:r>
      <w:r w:rsidR="00995E71">
        <w:rPr>
          <w:rFonts w:ascii="Arial" w:hAnsi="Arial" w:cs="Arial"/>
          <w:sz w:val="21"/>
          <w:szCs w:val="21"/>
        </w:rPr>
        <w:t>1</w:t>
      </w:r>
      <w:r w:rsidR="00995E71" w:rsidRPr="009257F2">
        <w:rPr>
          <w:rFonts w:ascii="Arial" w:hAnsi="Arial" w:cs="Arial"/>
          <w:sz w:val="21"/>
          <w:szCs w:val="21"/>
        </w:rPr>
        <w:t xml:space="preserve">) of the </w:t>
      </w:r>
      <w:r w:rsidR="00995E71" w:rsidRPr="009257F2">
        <w:rPr>
          <w:rFonts w:ascii="Arial" w:hAnsi="Arial" w:cs="Arial"/>
          <w:i/>
          <w:sz w:val="21"/>
          <w:szCs w:val="21"/>
        </w:rPr>
        <w:t>Canadian Energy Regulator Act.</w:t>
      </w:r>
      <w:r w:rsidR="00995E71">
        <w:rPr>
          <w:rFonts w:ascii="Arial" w:hAnsi="Arial" w:cs="Arial"/>
          <w:i/>
          <w:sz w:val="21"/>
          <w:szCs w:val="21"/>
        </w:rPr>
        <w:t xml:space="preserve"> </w:t>
      </w:r>
    </w:p>
    <w:p w14:paraId="7BB7C5E2" w14:textId="77777777" w:rsidR="00995E71" w:rsidRPr="009257F2" w:rsidRDefault="00995E71" w:rsidP="00995E71">
      <w:pPr>
        <w:rPr>
          <w:rFonts w:ascii="Arial" w:hAnsi="Arial" w:cs="Arial"/>
          <w:bCs/>
          <w:color w:val="000000"/>
          <w:sz w:val="21"/>
          <w:szCs w:val="21"/>
        </w:rPr>
      </w:pPr>
    </w:p>
    <w:p w14:paraId="542F7599" w14:textId="77777777" w:rsidR="00995E71" w:rsidRPr="009257F2" w:rsidRDefault="00995E71" w:rsidP="00995E71">
      <w:pPr>
        <w:rPr>
          <w:rFonts w:ascii="Arial" w:hAnsi="Arial" w:cs="Arial"/>
          <w:bCs/>
          <w:color w:val="000000"/>
          <w:sz w:val="21"/>
          <w:szCs w:val="21"/>
        </w:rPr>
      </w:pPr>
      <w:r w:rsidRPr="009257F2">
        <w:rPr>
          <w:rFonts w:ascii="Arial" w:hAnsi="Arial" w:cs="Arial"/>
          <w:bCs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bCs/>
          <w:color w:val="000000"/>
          <w:sz w:val="21"/>
          <w:szCs w:val="21"/>
        </w:rPr>
        <w:t>proposed abandonment will involve</w:t>
      </w:r>
      <w:r w:rsidRPr="009257F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C00A17">
        <w:rPr>
          <w:rFonts w:ascii="Arial" w:hAnsi="Arial" w:cs="Arial"/>
          <w:bCs/>
          <w:color w:val="000000"/>
          <w:sz w:val="21"/>
          <w:szCs w:val="21"/>
          <w:highlight w:val="cyan"/>
        </w:rPr>
        <w:t>[description of pipeline/facility]</w:t>
      </w:r>
      <w:r w:rsidRPr="009257F2">
        <w:rPr>
          <w:rFonts w:ascii="Arial" w:hAnsi="Arial" w:cs="Arial"/>
          <w:bCs/>
          <w:color w:val="000000"/>
          <w:sz w:val="21"/>
          <w:szCs w:val="21"/>
        </w:rPr>
        <w:t xml:space="preserve"> located </w:t>
      </w:r>
      <w:r w:rsidRPr="00C00A17">
        <w:rPr>
          <w:rFonts w:ascii="Arial" w:hAnsi="Arial" w:cs="Arial"/>
          <w:bCs/>
          <w:color w:val="000000"/>
          <w:sz w:val="21"/>
          <w:szCs w:val="21"/>
          <w:highlight w:val="cyan"/>
        </w:rPr>
        <w:t>[in/between, as appropriate]</w:t>
      </w:r>
      <w:r w:rsidRPr="009257F2">
        <w:rPr>
          <w:rFonts w:ascii="Arial" w:hAnsi="Arial" w:cs="Arial"/>
          <w:bCs/>
          <w:color w:val="000000"/>
          <w:sz w:val="21"/>
          <w:szCs w:val="21"/>
        </w:rPr>
        <w:t xml:space="preserve"> as shown on the accompanying map.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9E3A81">
        <w:rPr>
          <w:rFonts w:ascii="Arial" w:hAnsi="Arial" w:cs="Arial"/>
          <w:sz w:val="21"/>
          <w:szCs w:val="21"/>
        </w:rPr>
        <w:t xml:space="preserve">You can find the </w:t>
      </w:r>
      <w:r w:rsidR="00DF3EC7">
        <w:rPr>
          <w:rFonts w:ascii="Arial" w:hAnsi="Arial" w:cs="Arial"/>
          <w:sz w:val="21"/>
          <w:szCs w:val="21"/>
        </w:rPr>
        <w:t xml:space="preserve">application on the Canada Energy Regulator’s (CER’s) </w:t>
      </w:r>
      <w:r>
        <w:rPr>
          <w:rFonts w:ascii="Arial" w:hAnsi="Arial" w:cs="Arial"/>
          <w:sz w:val="21"/>
          <w:szCs w:val="21"/>
        </w:rPr>
        <w:t>w</w:t>
      </w:r>
      <w:r w:rsidRPr="009E3A81">
        <w:rPr>
          <w:rFonts w:ascii="Arial" w:hAnsi="Arial" w:cs="Arial"/>
          <w:sz w:val="21"/>
          <w:szCs w:val="21"/>
        </w:rPr>
        <w:t>ebsite</w:t>
      </w:r>
      <w:r>
        <w:rPr>
          <w:rFonts w:ascii="Arial" w:hAnsi="Arial" w:cs="Arial"/>
          <w:sz w:val="21"/>
          <w:szCs w:val="21"/>
        </w:rPr>
        <w:t xml:space="preserve"> here </w:t>
      </w:r>
      <w:r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>[</w:t>
      </w:r>
      <w:r w:rsidR="00EF1421">
        <w:rPr>
          <w:rFonts w:ascii="Arial" w:hAnsi="Arial" w:cs="Arial"/>
          <w:bCs/>
          <w:color w:val="000000"/>
          <w:sz w:val="21"/>
          <w:szCs w:val="21"/>
          <w:highlight w:val="cyan"/>
        </w:rPr>
        <w:t>CER</w:t>
      </w:r>
      <w:r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 Filing ID number</w:t>
      </w:r>
      <w:r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 – with hyperlink – </w:t>
      </w:r>
      <w:r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>from</w:t>
      </w:r>
      <w:r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 the</w:t>
      </w:r>
      <w:r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email </w:t>
      </w:r>
      <w:r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>receipt received upon filing</w:t>
      </w:r>
      <w:r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 the</w:t>
      </w:r>
      <w:r w:rsidRPr="009E3A81">
        <w:rPr>
          <w:rFonts w:ascii="Arial" w:hAnsi="Arial" w:cs="Arial"/>
          <w:bCs/>
          <w:color w:val="000000"/>
          <w:sz w:val="21"/>
          <w:szCs w:val="21"/>
          <w:highlight w:val="cyan"/>
        </w:rPr>
        <w:t xml:space="preserve"> application]</w:t>
      </w:r>
      <w:r>
        <w:rPr>
          <w:rFonts w:ascii="Arial" w:hAnsi="Arial" w:cs="Arial"/>
          <w:bCs/>
          <w:color w:val="000000"/>
          <w:sz w:val="21"/>
          <w:szCs w:val="21"/>
        </w:rPr>
        <w:t>.</w:t>
      </w:r>
    </w:p>
    <w:p w14:paraId="3BBF4A38" w14:textId="77777777" w:rsidR="00995E71" w:rsidRPr="009257F2" w:rsidRDefault="00995E71" w:rsidP="00995E71">
      <w:pPr>
        <w:rPr>
          <w:rFonts w:ascii="Arial" w:hAnsi="Arial" w:cs="Arial"/>
          <w:bCs/>
          <w:color w:val="000000"/>
          <w:sz w:val="21"/>
          <w:szCs w:val="21"/>
        </w:rPr>
      </w:pPr>
    </w:p>
    <w:p w14:paraId="348F25CE" w14:textId="1BD82BB6" w:rsidR="00995E71" w:rsidRDefault="00995E71" w:rsidP="00995E7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A36325">
        <w:rPr>
          <w:rFonts w:ascii="Arial" w:hAnsi="Arial" w:cs="Arial"/>
          <w:color w:val="000000"/>
          <w:sz w:val="21"/>
          <w:szCs w:val="21"/>
        </w:rPr>
        <w:t>Commission</w:t>
      </w:r>
      <w:r>
        <w:rPr>
          <w:rFonts w:ascii="Arial" w:hAnsi="Arial" w:cs="Arial"/>
          <w:color w:val="000000"/>
          <w:sz w:val="21"/>
          <w:szCs w:val="21"/>
        </w:rPr>
        <w:t xml:space="preserve"> expects [</w:t>
      </w:r>
      <w:r w:rsidRPr="0042049C">
        <w:rPr>
          <w:rFonts w:ascii="Arial" w:hAnsi="Arial" w:cs="Arial"/>
          <w:color w:val="000000"/>
          <w:sz w:val="21"/>
          <w:szCs w:val="21"/>
          <w:highlight w:val="cyan"/>
        </w:rPr>
        <w:t>Company name</w:t>
      </w:r>
      <w:r>
        <w:rPr>
          <w:rFonts w:ascii="Arial" w:hAnsi="Arial" w:cs="Arial"/>
          <w:color w:val="000000"/>
          <w:sz w:val="21"/>
          <w:szCs w:val="21"/>
        </w:rPr>
        <w:t xml:space="preserve">] has consulted with </w:t>
      </w:r>
      <w:r w:rsidR="00DF3EC7">
        <w:rPr>
          <w:rFonts w:ascii="Arial" w:hAnsi="Arial" w:cs="Arial"/>
          <w:color w:val="000000"/>
          <w:sz w:val="21"/>
          <w:szCs w:val="21"/>
        </w:rPr>
        <w:t xml:space="preserve">those </w:t>
      </w:r>
      <w:r>
        <w:rPr>
          <w:rFonts w:ascii="Arial" w:hAnsi="Arial" w:cs="Arial"/>
          <w:color w:val="000000"/>
          <w:sz w:val="21"/>
          <w:szCs w:val="21"/>
        </w:rPr>
        <w:t>who may be potentially affected by an abandonment project to discuss the project activities, abandonment method</w:t>
      </w:r>
      <w:r w:rsidR="007D5735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mitigation measures</w:t>
      </w:r>
      <w:r w:rsidR="00DF3EC7">
        <w:rPr>
          <w:rFonts w:ascii="Arial" w:hAnsi="Arial" w:cs="Arial"/>
          <w:color w:val="000000"/>
          <w:sz w:val="21"/>
          <w:szCs w:val="21"/>
        </w:rPr>
        <w:t xml:space="preserve">, and the </w:t>
      </w:r>
      <w:r w:rsidR="007D5735">
        <w:rPr>
          <w:rFonts w:ascii="Arial" w:hAnsi="Arial" w:cs="Arial"/>
          <w:color w:val="000000"/>
          <w:sz w:val="21"/>
          <w:szCs w:val="21"/>
        </w:rPr>
        <w:t xml:space="preserve">discontinuation </w:t>
      </w:r>
      <w:r w:rsidR="00DF3EC7">
        <w:rPr>
          <w:rFonts w:ascii="Arial" w:hAnsi="Arial" w:cs="Arial"/>
          <w:color w:val="000000"/>
          <w:sz w:val="21"/>
          <w:szCs w:val="21"/>
        </w:rPr>
        <w:t>of service</w:t>
      </w:r>
      <w:r>
        <w:rPr>
          <w:rFonts w:ascii="Arial" w:hAnsi="Arial" w:cs="Arial"/>
          <w:color w:val="000000"/>
          <w:sz w:val="21"/>
          <w:szCs w:val="21"/>
        </w:rPr>
        <w:t xml:space="preserve">. Information on the </w:t>
      </w:r>
      <w:r w:rsidR="00A36325">
        <w:rPr>
          <w:rFonts w:ascii="Arial" w:hAnsi="Arial" w:cs="Arial"/>
          <w:color w:val="000000"/>
          <w:sz w:val="21"/>
          <w:szCs w:val="21"/>
        </w:rPr>
        <w:t>Commission’s</w:t>
      </w:r>
      <w:r>
        <w:rPr>
          <w:rFonts w:ascii="Arial" w:hAnsi="Arial" w:cs="Arial"/>
          <w:color w:val="000000"/>
          <w:sz w:val="21"/>
          <w:szCs w:val="21"/>
        </w:rPr>
        <w:t xml:space="preserve"> expectations of engagement can be found in Guide B of the Filing </w:t>
      </w:r>
      <w:r w:rsidR="00131E4D">
        <w:rPr>
          <w:rFonts w:ascii="Arial" w:hAnsi="Arial" w:cs="Arial"/>
          <w:color w:val="000000"/>
          <w:sz w:val="21"/>
          <w:szCs w:val="21"/>
        </w:rPr>
        <w:t xml:space="preserve">Manual </w:t>
      </w:r>
      <w:r w:rsidR="00FD4D66">
        <w:rPr>
          <w:rFonts w:ascii="Arial" w:hAnsi="Arial" w:cs="Arial"/>
          <w:color w:val="000000"/>
          <w:sz w:val="21"/>
          <w:szCs w:val="21"/>
        </w:rPr>
        <w:br/>
      </w:r>
      <w:r w:rsidR="006019E6">
        <w:rPr>
          <w:rFonts w:ascii="Arial" w:hAnsi="Arial" w:cs="Arial"/>
          <w:color w:val="000000"/>
          <w:sz w:val="21"/>
          <w:szCs w:val="21"/>
        </w:rPr>
        <w:t>(</w:t>
      </w:r>
      <w:hyperlink r:id="rId9" w:history="1">
        <w:r w:rsidR="006019E6" w:rsidRPr="000B1121">
          <w:rPr>
            <w:rStyle w:val="Hyperlink"/>
            <w:rFonts w:ascii="Arial" w:hAnsi="Arial" w:cs="Arial"/>
            <w:sz w:val="21"/>
            <w:szCs w:val="21"/>
          </w:rPr>
          <w:t>www.cer-rec.gc.ca/FilingManual</w:t>
        </w:r>
      </w:hyperlink>
      <w:r w:rsidR="006019E6">
        <w:rPr>
          <w:rFonts w:ascii="Arial" w:hAnsi="Arial" w:cs="Arial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72AA130B" w14:textId="77777777" w:rsidR="00995E71" w:rsidRDefault="00995E71" w:rsidP="00995E71">
      <w:pPr>
        <w:rPr>
          <w:rFonts w:ascii="Arial" w:hAnsi="Arial" w:cs="Arial"/>
          <w:color w:val="000000"/>
          <w:sz w:val="21"/>
          <w:szCs w:val="21"/>
        </w:rPr>
      </w:pPr>
    </w:p>
    <w:p w14:paraId="07284E9F" w14:textId="3B3BD10E" w:rsidR="007D227B" w:rsidRDefault="004C65D6" w:rsidP="00995E71">
      <w:pPr>
        <w:rPr>
          <w:rFonts w:ascii="Arial" w:hAnsi="Arial" w:cs="Arial"/>
          <w:color w:val="000000"/>
          <w:sz w:val="21"/>
          <w:szCs w:val="21"/>
        </w:rPr>
      </w:pPr>
      <w:r w:rsidRPr="006847D6">
        <w:rPr>
          <w:rFonts w:ascii="Arial" w:hAnsi="Arial" w:cs="Arial"/>
          <w:color w:val="000000"/>
          <w:sz w:val="21"/>
          <w:szCs w:val="21"/>
          <w:highlight w:val="cyan"/>
        </w:rPr>
        <w:t xml:space="preserve">[Include this sentence for service; exclude for publication: </w:t>
      </w:r>
      <w:r w:rsidR="00995E71" w:rsidRPr="006847D6">
        <w:rPr>
          <w:rFonts w:ascii="Arial" w:hAnsi="Arial" w:cs="Arial"/>
          <w:color w:val="000000"/>
          <w:sz w:val="21"/>
          <w:szCs w:val="21"/>
          <w:highlight w:val="cyan"/>
        </w:rPr>
        <w:t xml:space="preserve">You are receiving this notice </w:t>
      </w:r>
      <w:r w:rsidR="00DF3EC7" w:rsidRPr="006847D6">
        <w:rPr>
          <w:rFonts w:ascii="Arial" w:hAnsi="Arial" w:cs="Arial"/>
          <w:color w:val="000000"/>
          <w:sz w:val="21"/>
          <w:szCs w:val="21"/>
          <w:highlight w:val="cyan"/>
        </w:rPr>
        <w:t xml:space="preserve">because you may be </w:t>
      </w:r>
      <w:r w:rsidR="00995E71" w:rsidRPr="006847D6">
        <w:rPr>
          <w:rFonts w:ascii="Arial" w:hAnsi="Arial" w:cs="Arial"/>
          <w:color w:val="000000"/>
          <w:sz w:val="21"/>
          <w:szCs w:val="21"/>
          <w:highlight w:val="cyan"/>
        </w:rPr>
        <w:t>affected by the abandonment project.</w:t>
      </w:r>
      <w:r>
        <w:rPr>
          <w:rFonts w:ascii="Arial" w:hAnsi="Arial" w:cs="Arial"/>
          <w:color w:val="000000"/>
          <w:sz w:val="21"/>
          <w:szCs w:val="21"/>
        </w:rPr>
        <w:t>]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 I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 xml:space="preserve">f you anticipate that your lands, rights or interests may be adversely affected by the proposed abandonment, you 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may advise the </w:t>
      </w:r>
      <w:r w:rsidR="00A36325">
        <w:rPr>
          <w:rFonts w:ascii="Arial" w:hAnsi="Arial" w:cs="Arial"/>
          <w:color w:val="000000"/>
          <w:sz w:val="21"/>
          <w:szCs w:val="21"/>
        </w:rPr>
        <w:t>Commission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 of your concerns about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A36325">
        <w:rPr>
          <w:rFonts w:ascii="Arial" w:hAnsi="Arial" w:cs="Arial"/>
          <w:color w:val="000000"/>
          <w:sz w:val="21"/>
          <w:szCs w:val="21"/>
        </w:rPr>
        <w:t xml:space="preserve">proposed 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 xml:space="preserve">abandonment by filing a written statement of opposition 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or a request for a hearing 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 xml:space="preserve">within thirty (30) days of </w:t>
      </w:r>
      <w:r w:rsidR="00995E71" w:rsidRPr="00C00A17">
        <w:rPr>
          <w:rFonts w:ascii="Arial" w:hAnsi="Arial" w:cs="Arial"/>
          <w:color w:val="000000"/>
          <w:sz w:val="21"/>
          <w:szCs w:val="21"/>
          <w:highlight w:val="cyan"/>
        </w:rPr>
        <w:t>[</w:t>
      </w:r>
      <w:r w:rsidR="00995E71">
        <w:rPr>
          <w:rFonts w:ascii="Arial" w:hAnsi="Arial" w:cs="Arial"/>
          <w:color w:val="000000"/>
          <w:sz w:val="21"/>
          <w:szCs w:val="21"/>
          <w:highlight w:val="cyan"/>
        </w:rPr>
        <w:t>if published, then date of publication; if served, then date of service</w:t>
      </w:r>
      <w:r w:rsidR="00995E71" w:rsidRPr="00C00A17">
        <w:rPr>
          <w:rFonts w:ascii="Arial" w:hAnsi="Arial" w:cs="Arial"/>
          <w:color w:val="000000"/>
          <w:sz w:val="21"/>
          <w:szCs w:val="21"/>
          <w:highlight w:val="cyan"/>
        </w:rPr>
        <w:t>]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 xml:space="preserve">. The written statement of opposition 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or request for hearing 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>must set out the nature of your interest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 and concerns in relation to 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>the proposed</w:t>
      </w:r>
      <w:r w:rsidR="00995E71">
        <w:rPr>
          <w:rFonts w:ascii="Arial" w:hAnsi="Arial" w:cs="Arial"/>
          <w:color w:val="000000"/>
          <w:sz w:val="21"/>
          <w:szCs w:val="21"/>
        </w:rPr>
        <w:t xml:space="preserve"> abandonment</w:t>
      </w:r>
      <w:r w:rsidR="00995E71" w:rsidRPr="009257F2">
        <w:rPr>
          <w:rFonts w:ascii="Arial" w:hAnsi="Arial" w:cs="Arial"/>
          <w:color w:val="000000"/>
          <w:sz w:val="21"/>
          <w:szCs w:val="21"/>
        </w:rPr>
        <w:t xml:space="preserve">. </w:t>
      </w:r>
      <w:r w:rsidR="00EF1421">
        <w:rPr>
          <w:rFonts w:ascii="Arial" w:hAnsi="Arial" w:cs="Arial"/>
          <w:color w:val="000000"/>
          <w:sz w:val="21"/>
          <w:szCs w:val="21"/>
        </w:rPr>
        <w:t xml:space="preserve">A form to use for your statement of opposition or request for a hearing </w:t>
      </w:r>
      <w:r w:rsidR="00DA50F0">
        <w:rPr>
          <w:rFonts w:ascii="Arial" w:hAnsi="Arial" w:cs="Arial"/>
          <w:color w:val="000000"/>
          <w:sz w:val="21"/>
          <w:szCs w:val="21"/>
        </w:rPr>
        <w:t xml:space="preserve">is attached and </w:t>
      </w:r>
      <w:r w:rsidR="00EF1421">
        <w:rPr>
          <w:rFonts w:ascii="Arial" w:hAnsi="Arial" w:cs="Arial"/>
          <w:color w:val="000000"/>
          <w:sz w:val="21"/>
          <w:szCs w:val="21"/>
        </w:rPr>
        <w:t xml:space="preserve">can </w:t>
      </w:r>
      <w:r w:rsidR="00DA50F0">
        <w:rPr>
          <w:rFonts w:ascii="Arial" w:hAnsi="Arial" w:cs="Arial"/>
          <w:color w:val="000000"/>
          <w:sz w:val="21"/>
          <w:szCs w:val="21"/>
        </w:rPr>
        <w:t xml:space="preserve">also </w:t>
      </w:r>
      <w:r w:rsidR="00EF1421">
        <w:rPr>
          <w:rFonts w:ascii="Arial" w:hAnsi="Arial" w:cs="Arial"/>
          <w:color w:val="000000"/>
          <w:sz w:val="21"/>
          <w:szCs w:val="21"/>
        </w:rPr>
        <w:t>be found at</w:t>
      </w:r>
      <w:r w:rsidR="009C3A1F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0" w:history="1">
        <w:r w:rsidR="009C3A1F" w:rsidRPr="009C3A1F">
          <w:rPr>
            <w:rStyle w:val="Hyperlink"/>
            <w:rFonts w:ascii="Arial" w:hAnsi="Arial" w:cs="Arial"/>
            <w:sz w:val="21"/>
            <w:szCs w:val="21"/>
          </w:rPr>
          <w:t>Templates for public participation</w:t>
        </w:r>
      </w:hyperlink>
      <w:r w:rsidR="00EF1421">
        <w:rPr>
          <w:rFonts w:ascii="Arial" w:hAnsi="Arial" w:cs="Arial"/>
          <w:color w:val="000000"/>
          <w:sz w:val="21"/>
          <w:szCs w:val="21"/>
        </w:rPr>
        <w:t>.</w:t>
      </w:r>
      <w:r w:rsidR="00DA50F0">
        <w:rPr>
          <w:rFonts w:ascii="Arial" w:hAnsi="Arial" w:cs="Arial"/>
          <w:color w:val="000000"/>
          <w:sz w:val="21"/>
          <w:szCs w:val="21"/>
        </w:rPr>
        <w:t xml:space="preserve"> Part F of the form includes information on filing your statement of opposition/request for hearing form.</w:t>
      </w:r>
    </w:p>
    <w:p w14:paraId="3E648016" w14:textId="77777777" w:rsidR="00150EF8" w:rsidRDefault="00150EF8" w:rsidP="00995E71">
      <w:pPr>
        <w:rPr>
          <w:rFonts w:ascii="Arial" w:hAnsi="Arial" w:cs="Arial"/>
          <w:sz w:val="21"/>
          <w:szCs w:val="21"/>
        </w:rPr>
      </w:pPr>
    </w:p>
    <w:p w14:paraId="305CE5A1" w14:textId="30929832" w:rsidR="00995E71" w:rsidRDefault="00995E71" w:rsidP="00995E71">
      <w:pPr>
        <w:rPr>
          <w:rFonts w:ascii="Arial" w:hAnsi="Arial" w:cs="Arial"/>
          <w:sz w:val="21"/>
          <w:szCs w:val="21"/>
        </w:rPr>
      </w:pPr>
      <w:r w:rsidRPr="009257F2">
        <w:rPr>
          <w:rFonts w:ascii="Arial" w:hAnsi="Arial" w:cs="Arial"/>
          <w:sz w:val="21"/>
          <w:szCs w:val="21"/>
        </w:rPr>
        <w:t>If a statement of opposition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 request for hearing</w:t>
      </w:r>
      <w:r w:rsidRPr="009257F2">
        <w:rPr>
          <w:rFonts w:ascii="Arial" w:hAnsi="Arial" w:cs="Arial"/>
          <w:sz w:val="21"/>
          <w:szCs w:val="21"/>
        </w:rPr>
        <w:t xml:space="preserve"> i</w:t>
      </w:r>
      <w:r>
        <w:rPr>
          <w:rFonts w:ascii="Arial" w:hAnsi="Arial" w:cs="Arial"/>
          <w:sz w:val="21"/>
          <w:szCs w:val="21"/>
        </w:rPr>
        <w:t>s</w:t>
      </w:r>
      <w:r w:rsidRPr="009257F2">
        <w:rPr>
          <w:rFonts w:ascii="Arial" w:hAnsi="Arial" w:cs="Arial"/>
          <w:sz w:val="21"/>
          <w:szCs w:val="21"/>
        </w:rPr>
        <w:t xml:space="preserve"> filed with the </w:t>
      </w:r>
      <w:proofErr w:type="gramStart"/>
      <w:r w:rsidRPr="009257F2">
        <w:rPr>
          <w:rFonts w:ascii="Arial" w:hAnsi="Arial" w:cs="Arial"/>
          <w:sz w:val="21"/>
          <w:szCs w:val="21"/>
        </w:rPr>
        <w:t>C</w:t>
      </w:r>
      <w:r w:rsidR="00CE0683">
        <w:rPr>
          <w:rFonts w:ascii="Arial" w:hAnsi="Arial" w:cs="Arial"/>
          <w:sz w:val="21"/>
          <w:szCs w:val="21"/>
        </w:rPr>
        <w:t>ER</w:t>
      </w:r>
      <w:r w:rsidRPr="009257F2">
        <w:rPr>
          <w:rFonts w:ascii="Arial" w:hAnsi="Arial" w:cs="Arial"/>
          <w:sz w:val="21"/>
          <w:szCs w:val="21"/>
        </w:rPr>
        <w:t>, and</w:t>
      </w:r>
      <w:proofErr w:type="gramEnd"/>
      <w:r w:rsidRPr="009257F2">
        <w:rPr>
          <w:rFonts w:ascii="Arial" w:hAnsi="Arial" w:cs="Arial"/>
          <w:sz w:val="21"/>
          <w:szCs w:val="21"/>
        </w:rPr>
        <w:t xml:space="preserve"> is not frivolous or vexatious and is not withdrawn, then the Commission will order that a public hearing be conducted in respect o</w:t>
      </w:r>
      <w:r>
        <w:rPr>
          <w:rFonts w:ascii="Arial" w:hAnsi="Arial" w:cs="Arial"/>
          <w:sz w:val="21"/>
          <w:szCs w:val="21"/>
        </w:rPr>
        <w:t xml:space="preserve">f the abandonment application. </w:t>
      </w:r>
      <w:r w:rsidRPr="009257F2">
        <w:rPr>
          <w:rFonts w:ascii="Arial" w:hAnsi="Arial" w:cs="Arial"/>
          <w:sz w:val="21"/>
          <w:szCs w:val="21"/>
        </w:rPr>
        <w:t xml:space="preserve">In establishing a hearing process, the Commission will consider the nature of the application and the content of any statements of opposition </w:t>
      </w:r>
      <w:r>
        <w:rPr>
          <w:rFonts w:ascii="Arial" w:hAnsi="Arial" w:cs="Arial"/>
          <w:sz w:val="21"/>
          <w:szCs w:val="21"/>
        </w:rPr>
        <w:t xml:space="preserve">or </w:t>
      </w:r>
      <w:r>
        <w:rPr>
          <w:rFonts w:ascii="Arial" w:hAnsi="Arial" w:cs="Arial"/>
          <w:color w:val="000000"/>
          <w:sz w:val="21"/>
          <w:szCs w:val="21"/>
        </w:rPr>
        <w:t>requests for hearing</w:t>
      </w:r>
      <w:r w:rsidRPr="009257F2">
        <w:rPr>
          <w:rFonts w:ascii="Arial" w:hAnsi="Arial" w:cs="Arial"/>
          <w:sz w:val="21"/>
          <w:szCs w:val="21"/>
        </w:rPr>
        <w:t xml:space="preserve"> it receives.</w:t>
      </w:r>
    </w:p>
    <w:p w14:paraId="76E23058" w14:textId="77777777" w:rsidR="00995E71" w:rsidRDefault="00995E71" w:rsidP="00995E71">
      <w:pPr>
        <w:rPr>
          <w:rFonts w:ascii="Arial" w:hAnsi="Arial" w:cs="Arial"/>
          <w:sz w:val="21"/>
          <w:szCs w:val="21"/>
        </w:rPr>
      </w:pPr>
    </w:p>
    <w:p w14:paraId="5E659E85" w14:textId="5077246B" w:rsidR="000A6A15" w:rsidRPr="00397DE2" w:rsidRDefault="00995E71" w:rsidP="000A6A15">
      <w:pPr>
        <w:rPr>
          <w:rFonts w:ascii="Arial" w:hAnsi="Arial" w:cs="Arial"/>
          <w:sz w:val="21"/>
          <w:szCs w:val="21"/>
        </w:rPr>
      </w:pPr>
      <w:r w:rsidRPr="009257F2">
        <w:rPr>
          <w:rFonts w:ascii="Arial" w:hAnsi="Arial" w:cs="Arial"/>
          <w:sz w:val="21"/>
          <w:szCs w:val="21"/>
        </w:rPr>
        <w:t>Alternat</w:t>
      </w:r>
      <w:r>
        <w:rPr>
          <w:rFonts w:ascii="Arial" w:hAnsi="Arial" w:cs="Arial"/>
          <w:sz w:val="21"/>
          <w:szCs w:val="21"/>
        </w:rPr>
        <w:t>e</w:t>
      </w:r>
      <w:r w:rsidRPr="009257F2">
        <w:rPr>
          <w:rFonts w:ascii="Arial" w:hAnsi="Arial" w:cs="Arial"/>
          <w:sz w:val="21"/>
          <w:szCs w:val="21"/>
        </w:rPr>
        <w:t xml:space="preserve"> Dispute Resolution (ADR) services – such as mediation and facilitation – are available from the </w:t>
      </w:r>
      <w:r>
        <w:rPr>
          <w:rFonts w:ascii="Arial" w:hAnsi="Arial" w:cs="Arial"/>
          <w:sz w:val="21"/>
          <w:szCs w:val="21"/>
        </w:rPr>
        <w:t>CER</w:t>
      </w:r>
      <w:r w:rsidRPr="009257F2">
        <w:rPr>
          <w:rFonts w:ascii="Arial" w:hAnsi="Arial" w:cs="Arial"/>
          <w:sz w:val="21"/>
          <w:szCs w:val="21"/>
        </w:rPr>
        <w:t xml:space="preserve"> to help parties resolve disputes outside of the Commission’s </w:t>
      </w:r>
      <w:r>
        <w:rPr>
          <w:rFonts w:ascii="Arial" w:hAnsi="Arial" w:cs="Arial"/>
          <w:sz w:val="21"/>
          <w:szCs w:val="21"/>
        </w:rPr>
        <w:t xml:space="preserve">hearing </w:t>
      </w:r>
      <w:r w:rsidRPr="009257F2">
        <w:rPr>
          <w:rFonts w:ascii="Arial" w:hAnsi="Arial" w:cs="Arial"/>
          <w:sz w:val="21"/>
          <w:szCs w:val="21"/>
        </w:rPr>
        <w:t xml:space="preserve">processes. You can read more about ADR on the </w:t>
      </w:r>
      <w:r>
        <w:rPr>
          <w:rFonts w:ascii="Arial" w:hAnsi="Arial" w:cs="Arial"/>
          <w:sz w:val="21"/>
          <w:szCs w:val="21"/>
        </w:rPr>
        <w:t>CER’s</w:t>
      </w:r>
      <w:r w:rsidRPr="009257F2">
        <w:rPr>
          <w:rFonts w:ascii="Arial" w:hAnsi="Arial" w:cs="Arial"/>
          <w:sz w:val="21"/>
          <w:szCs w:val="21"/>
        </w:rPr>
        <w:t xml:space="preserve"> website</w:t>
      </w:r>
      <w:r w:rsidR="00E118DA">
        <w:rPr>
          <w:rFonts w:ascii="Arial" w:hAnsi="Arial" w:cs="Arial"/>
          <w:sz w:val="21"/>
          <w:szCs w:val="21"/>
        </w:rPr>
        <w:t xml:space="preserve"> at </w:t>
      </w:r>
      <w:r w:rsidR="00150EF8">
        <w:rPr>
          <w:rFonts w:ascii="Arial" w:hAnsi="Arial" w:cs="Arial"/>
          <w:sz w:val="21"/>
          <w:szCs w:val="21"/>
        </w:rPr>
        <w:br/>
      </w:r>
      <w:hyperlink r:id="rId11" w:history="1">
        <w:r w:rsidR="008B4A7F" w:rsidRPr="008B4A7F">
          <w:rPr>
            <w:rStyle w:val="Hyperlink"/>
            <w:rFonts w:ascii="Arial" w:hAnsi="Arial" w:cs="Arial"/>
            <w:sz w:val="21"/>
            <w:szCs w:val="21"/>
          </w:rPr>
          <w:t>http://www.cer-rec.gc.ca/en/consultation-engagement/alternative-dispute-resolution/</w:t>
        </w:r>
      </w:hyperlink>
      <w:r w:rsidR="00F225AD">
        <w:rPr>
          <w:rFonts w:ascii="Arial" w:hAnsi="Arial" w:cs="Arial"/>
          <w:sz w:val="21"/>
          <w:szCs w:val="21"/>
        </w:rPr>
        <w:t>.</w:t>
      </w:r>
    </w:p>
    <w:p w14:paraId="7B7F4C93" w14:textId="77777777" w:rsidR="00995E71" w:rsidRPr="009257F2" w:rsidRDefault="000A6A15" w:rsidP="000A6A15">
      <w:pPr>
        <w:rPr>
          <w:rFonts w:ascii="Arial" w:hAnsi="Arial" w:cs="Arial"/>
          <w:sz w:val="21"/>
          <w:szCs w:val="21"/>
        </w:rPr>
      </w:pPr>
      <w:r w:rsidRPr="009257F2" w:rsidDel="000A6A15">
        <w:rPr>
          <w:rFonts w:ascii="Arial" w:hAnsi="Arial" w:cs="Arial"/>
          <w:sz w:val="21"/>
          <w:szCs w:val="21"/>
        </w:rPr>
        <w:t xml:space="preserve"> </w:t>
      </w:r>
    </w:p>
    <w:p w14:paraId="5DA991B2" w14:textId="1A6C7A97" w:rsidR="00995E71" w:rsidRDefault="00995E71" w:rsidP="007F6CE7">
      <w:pPr>
        <w:pStyle w:val="PlainText"/>
        <w:rPr>
          <w:rFonts w:ascii="Arial" w:hAnsi="Arial" w:cs="Arial"/>
          <w:color w:val="000000"/>
          <w:sz w:val="21"/>
        </w:rPr>
      </w:pPr>
      <w:r w:rsidRPr="009257F2">
        <w:rPr>
          <w:rFonts w:ascii="Arial" w:hAnsi="Arial" w:cs="Arial"/>
          <w:color w:val="000000"/>
          <w:sz w:val="21"/>
        </w:rPr>
        <w:t>For more information or for any questions,</w:t>
      </w:r>
      <w:r>
        <w:rPr>
          <w:rFonts w:ascii="Arial" w:hAnsi="Arial" w:cs="Arial"/>
          <w:color w:val="000000"/>
          <w:sz w:val="21"/>
        </w:rPr>
        <w:t xml:space="preserve"> </w:t>
      </w:r>
      <w:r w:rsidRPr="009257F2">
        <w:rPr>
          <w:rFonts w:ascii="Arial" w:hAnsi="Arial" w:cs="Arial"/>
          <w:color w:val="000000"/>
          <w:sz w:val="21"/>
        </w:rPr>
        <w:t xml:space="preserve">you can contact </w:t>
      </w:r>
      <w:r w:rsidR="007F6CE7">
        <w:rPr>
          <w:rFonts w:ascii="Arial" w:hAnsi="Arial" w:cs="Arial"/>
          <w:color w:val="000000"/>
          <w:sz w:val="21"/>
        </w:rPr>
        <w:t>the</w:t>
      </w:r>
      <w:r w:rsidRPr="009257F2">
        <w:rPr>
          <w:rFonts w:ascii="Arial" w:hAnsi="Arial" w:cs="Arial"/>
          <w:color w:val="000000"/>
          <w:sz w:val="21"/>
        </w:rPr>
        <w:t xml:space="preserve"> </w:t>
      </w:r>
      <w:r>
        <w:rPr>
          <w:rFonts w:ascii="Arial" w:hAnsi="Arial" w:cs="Arial"/>
          <w:color w:val="000000"/>
          <w:sz w:val="21"/>
        </w:rPr>
        <w:t>CER</w:t>
      </w:r>
      <w:r w:rsidR="00475EA8">
        <w:rPr>
          <w:rFonts w:ascii="Arial" w:hAnsi="Arial" w:cs="Arial"/>
          <w:color w:val="000000"/>
          <w:sz w:val="21"/>
        </w:rPr>
        <w:t>’s Land Matters Advisory Service</w:t>
      </w:r>
      <w:r>
        <w:rPr>
          <w:rFonts w:ascii="Arial" w:hAnsi="Arial" w:cs="Arial"/>
          <w:color w:val="000000"/>
          <w:sz w:val="21"/>
        </w:rPr>
        <w:t xml:space="preserve"> </w:t>
      </w:r>
      <w:r w:rsidR="00CE0683">
        <w:rPr>
          <w:rFonts w:ascii="Arial" w:hAnsi="Arial" w:cs="Arial"/>
          <w:color w:val="000000"/>
          <w:sz w:val="21"/>
        </w:rPr>
        <w:t>at</w:t>
      </w:r>
      <w:r w:rsidR="00475EA8">
        <w:rPr>
          <w:rFonts w:ascii="Arial" w:hAnsi="Arial" w:cs="Arial"/>
          <w:color w:val="000000"/>
          <w:sz w:val="21"/>
        </w:rPr>
        <w:t xml:space="preserve"> 1-800-899-1265 </w:t>
      </w:r>
      <w:r w:rsidR="00CE0683">
        <w:rPr>
          <w:rFonts w:ascii="Arial" w:hAnsi="Arial" w:cs="Arial"/>
          <w:color w:val="000000"/>
          <w:sz w:val="21"/>
        </w:rPr>
        <w:t xml:space="preserve">(toll free) </w:t>
      </w:r>
      <w:r w:rsidR="007F6CE7">
        <w:rPr>
          <w:rFonts w:ascii="Arial" w:hAnsi="Arial" w:cs="Arial"/>
          <w:color w:val="000000"/>
          <w:sz w:val="21"/>
        </w:rPr>
        <w:t xml:space="preserve">or </w:t>
      </w:r>
      <w:r w:rsidR="00EC095B">
        <w:rPr>
          <w:rFonts w:ascii="Arial" w:hAnsi="Arial" w:cs="Arial"/>
          <w:color w:val="000000"/>
          <w:sz w:val="21"/>
        </w:rPr>
        <w:t>via</w:t>
      </w:r>
      <w:r w:rsidR="00DA7E77">
        <w:rPr>
          <w:rFonts w:ascii="Arial" w:hAnsi="Arial" w:cs="Arial"/>
          <w:color w:val="000000"/>
          <w:sz w:val="21"/>
        </w:rPr>
        <w:t xml:space="preserve"> e</w:t>
      </w:r>
      <w:r w:rsidR="00CE0683">
        <w:rPr>
          <w:rFonts w:ascii="Arial" w:hAnsi="Arial" w:cs="Arial"/>
          <w:color w:val="000000"/>
          <w:sz w:val="21"/>
        </w:rPr>
        <w:t>mail</w:t>
      </w:r>
      <w:r w:rsidR="00FD4D66">
        <w:rPr>
          <w:rFonts w:ascii="Arial" w:hAnsi="Arial" w:cs="Arial"/>
          <w:color w:val="000000"/>
          <w:sz w:val="21"/>
        </w:rPr>
        <w:t xml:space="preserve"> at</w:t>
      </w:r>
      <w:r w:rsidR="00CE0683">
        <w:rPr>
          <w:rFonts w:ascii="Arial" w:hAnsi="Arial" w:cs="Arial"/>
          <w:color w:val="000000"/>
          <w:sz w:val="21"/>
        </w:rPr>
        <w:t xml:space="preserve"> </w:t>
      </w:r>
      <w:hyperlink r:id="rId12" w:history="1">
        <w:r w:rsidR="002D4AE9" w:rsidRPr="002D4AE9">
          <w:rPr>
            <w:rStyle w:val="Hyperlink"/>
            <w:rFonts w:ascii="Arial" w:hAnsi="Arial" w:cs="Arial"/>
            <w:sz w:val="21"/>
            <w:lang w:val="en"/>
          </w:rPr>
          <w:t>LMAS@cer-rec.gc.ca</w:t>
        </w:r>
      </w:hyperlink>
      <w:r w:rsidR="002D4AE9" w:rsidRPr="002D4AE9">
        <w:rPr>
          <w:rFonts w:ascii="Arial" w:hAnsi="Arial" w:cs="Arial"/>
          <w:sz w:val="21"/>
          <w:lang w:val="en"/>
        </w:rPr>
        <w:t>.</w:t>
      </w:r>
    </w:p>
    <w:sectPr w:rsidR="00995E71" w:rsidSect="003C2EA0">
      <w:headerReference w:type="default" r:id="rId13"/>
      <w:headerReference w:type="first" r:id="rId14"/>
      <w:footerReference w:type="first" r:id="rId15"/>
      <w:pgSz w:w="12240" w:h="15840"/>
      <w:pgMar w:top="1440" w:right="1440" w:bottom="1440" w:left="216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8D3D" w14:textId="77777777" w:rsidR="00D86919" w:rsidRDefault="00D86919" w:rsidP="00B80B90">
      <w:r>
        <w:separator/>
      </w:r>
    </w:p>
  </w:endnote>
  <w:endnote w:type="continuationSeparator" w:id="0">
    <w:p w14:paraId="58449282" w14:textId="77777777" w:rsidR="00D86919" w:rsidRDefault="00D86919" w:rsidP="00B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E5F6" w14:textId="77777777" w:rsidR="00B80B90" w:rsidRDefault="00FC0679" w:rsidP="00B80B90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EFB2F29" wp14:editId="354D3733">
          <wp:simplePos x="0" y="0"/>
          <wp:positionH relativeFrom="column">
            <wp:posOffset>5029200</wp:posOffset>
          </wp:positionH>
          <wp:positionV relativeFrom="paragraph">
            <wp:posOffset>9525</wp:posOffset>
          </wp:positionV>
          <wp:extent cx="914400" cy="219075"/>
          <wp:effectExtent l="0" t="0" r="0" b="9525"/>
          <wp:wrapNone/>
          <wp:docPr id="1" name="Picture 1" descr="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4828" w14:textId="77777777" w:rsidR="00D86919" w:rsidRDefault="00D86919" w:rsidP="00B80B90">
      <w:r>
        <w:separator/>
      </w:r>
    </w:p>
  </w:footnote>
  <w:footnote w:type="continuationSeparator" w:id="0">
    <w:p w14:paraId="64BB2923" w14:textId="77777777" w:rsidR="00D86919" w:rsidRDefault="00D86919" w:rsidP="00B8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4992" w14:textId="77777777" w:rsidR="00D967F4" w:rsidRPr="00C426CF" w:rsidRDefault="00D967F4">
    <w:pPr>
      <w:pStyle w:val="Header"/>
      <w:jc w:val="center"/>
      <w:rPr>
        <w:rFonts w:ascii="Arial" w:hAnsi="Arial" w:cs="Arial"/>
        <w:sz w:val="21"/>
        <w:szCs w:val="21"/>
      </w:rPr>
    </w:pPr>
  </w:p>
  <w:p w14:paraId="789D328A" w14:textId="77777777" w:rsidR="00D967F4" w:rsidRDefault="00D967F4" w:rsidP="008F5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3100" w14:textId="77777777" w:rsidR="00B80B90" w:rsidRDefault="008F2C42" w:rsidP="008F5F64">
    <w:pPr>
      <w:pStyle w:val="Header"/>
      <w:tabs>
        <w:tab w:val="clear" w:pos="4680"/>
        <w:tab w:val="center" w:pos="4320"/>
      </w:tabs>
      <w:ind w:left="-1080"/>
    </w:pPr>
    <w:r>
      <w:tab/>
    </w:r>
  </w:p>
  <w:p w14:paraId="728A7EE6" w14:textId="77777777" w:rsidR="00B80B90" w:rsidRDefault="00B80B90" w:rsidP="00B80B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2DC"/>
    <w:multiLevelType w:val="hybridMultilevel"/>
    <w:tmpl w:val="61708244"/>
    <w:lvl w:ilvl="0" w:tplc="F3689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993"/>
    <w:multiLevelType w:val="hybridMultilevel"/>
    <w:tmpl w:val="61708244"/>
    <w:lvl w:ilvl="0" w:tplc="F3689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2697"/>
    <w:multiLevelType w:val="hybridMultilevel"/>
    <w:tmpl w:val="2F041F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222B7"/>
    <w:multiLevelType w:val="hybridMultilevel"/>
    <w:tmpl w:val="07DE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657"/>
    <w:multiLevelType w:val="hybridMultilevel"/>
    <w:tmpl w:val="42960146"/>
    <w:lvl w:ilvl="0" w:tplc="4DB8E3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1687A"/>
    <w:multiLevelType w:val="hybridMultilevel"/>
    <w:tmpl w:val="A67C9758"/>
    <w:lvl w:ilvl="0" w:tplc="746CE6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E32C9"/>
    <w:multiLevelType w:val="hybridMultilevel"/>
    <w:tmpl w:val="B9EE6812"/>
    <w:lvl w:ilvl="0" w:tplc="62F02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7624F"/>
    <w:multiLevelType w:val="hybridMultilevel"/>
    <w:tmpl w:val="E33A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447A"/>
    <w:multiLevelType w:val="hybridMultilevel"/>
    <w:tmpl w:val="6E6EF988"/>
    <w:lvl w:ilvl="0" w:tplc="AE463A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458A2"/>
    <w:multiLevelType w:val="hybridMultilevel"/>
    <w:tmpl w:val="42960146"/>
    <w:lvl w:ilvl="0" w:tplc="4DB8E3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8C"/>
    <w:rsid w:val="00016BCD"/>
    <w:rsid w:val="00021DDF"/>
    <w:rsid w:val="0002278D"/>
    <w:rsid w:val="00030D01"/>
    <w:rsid w:val="000779A6"/>
    <w:rsid w:val="000855DC"/>
    <w:rsid w:val="000A32CC"/>
    <w:rsid w:val="000A6A15"/>
    <w:rsid w:val="000B1121"/>
    <w:rsid w:val="000E47E7"/>
    <w:rsid w:val="001038F9"/>
    <w:rsid w:val="0010576E"/>
    <w:rsid w:val="00106353"/>
    <w:rsid w:val="0012091D"/>
    <w:rsid w:val="00131E4D"/>
    <w:rsid w:val="00145D46"/>
    <w:rsid w:val="00150EF8"/>
    <w:rsid w:val="00182C00"/>
    <w:rsid w:val="001B0182"/>
    <w:rsid w:val="001B07F7"/>
    <w:rsid w:val="001B6E6E"/>
    <w:rsid w:val="001C76E6"/>
    <w:rsid w:val="001F5134"/>
    <w:rsid w:val="00203E1B"/>
    <w:rsid w:val="0025780A"/>
    <w:rsid w:val="00257C13"/>
    <w:rsid w:val="00282881"/>
    <w:rsid w:val="00292705"/>
    <w:rsid w:val="002C3FF4"/>
    <w:rsid w:val="002D4AE9"/>
    <w:rsid w:val="002F56B3"/>
    <w:rsid w:val="003536C8"/>
    <w:rsid w:val="00365A8D"/>
    <w:rsid w:val="00374A6F"/>
    <w:rsid w:val="00397DE2"/>
    <w:rsid w:val="003A25EF"/>
    <w:rsid w:val="003C2EA0"/>
    <w:rsid w:val="00402265"/>
    <w:rsid w:val="00437C66"/>
    <w:rsid w:val="004555BE"/>
    <w:rsid w:val="0045762B"/>
    <w:rsid w:val="00457D6A"/>
    <w:rsid w:val="00475EA8"/>
    <w:rsid w:val="004858A9"/>
    <w:rsid w:val="004A591E"/>
    <w:rsid w:val="004B085D"/>
    <w:rsid w:val="004C65D6"/>
    <w:rsid w:val="004C66B0"/>
    <w:rsid w:val="004D2352"/>
    <w:rsid w:val="004F7972"/>
    <w:rsid w:val="00543E1E"/>
    <w:rsid w:val="00553987"/>
    <w:rsid w:val="00592C05"/>
    <w:rsid w:val="005A68CA"/>
    <w:rsid w:val="005B4257"/>
    <w:rsid w:val="005E3036"/>
    <w:rsid w:val="005F2327"/>
    <w:rsid w:val="006019E6"/>
    <w:rsid w:val="006023C4"/>
    <w:rsid w:val="006532B0"/>
    <w:rsid w:val="00657F9E"/>
    <w:rsid w:val="00662D00"/>
    <w:rsid w:val="006847D6"/>
    <w:rsid w:val="006B591F"/>
    <w:rsid w:val="006E1230"/>
    <w:rsid w:val="006E2677"/>
    <w:rsid w:val="006F328D"/>
    <w:rsid w:val="006F5022"/>
    <w:rsid w:val="00757261"/>
    <w:rsid w:val="00764433"/>
    <w:rsid w:val="00771878"/>
    <w:rsid w:val="007C286F"/>
    <w:rsid w:val="007D227B"/>
    <w:rsid w:val="007D5735"/>
    <w:rsid w:val="007F46E9"/>
    <w:rsid w:val="007F6CE7"/>
    <w:rsid w:val="00810DEE"/>
    <w:rsid w:val="0081509F"/>
    <w:rsid w:val="008420FC"/>
    <w:rsid w:val="008575FB"/>
    <w:rsid w:val="0087739A"/>
    <w:rsid w:val="008A31B9"/>
    <w:rsid w:val="008A35AD"/>
    <w:rsid w:val="008B4A7F"/>
    <w:rsid w:val="008C737A"/>
    <w:rsid w:val="008E322F"/>
    <w:rsid w:val="008F2C42"/>
    <w:rsid w:val="008F4E5B"/>
    <w:rsid w:val="008F5F64"/>
    <w:rsid w:val="00913623"/>
    <w:rsid w:val="00945335"/>
    <w:rsid w:val="00965FB6"/>
    <w:rsid w:val="0098244C"/>
    <w:rsid w:val="00987FAC"/>
    <w:rsid w:val="00995E71"/>
    <w:rsid w:val="009A1F13"/>
    <w:rsid w:val="009A34ED"/>
    <w:rsid w:val="009C3A1F"/>
    <w:rsid w:val="009D0D7D"/>
    <w:rsid w:val="00A1653E"/>
    <w:rsid w:val="00A36325"/>
    <w:rsid w:val="00A55CC4"/>
    <w:rsid w:val="00A579DC"/>
    <w:rsid w:val="00A64F16"/>
    <w:rsid w:val="00A65513"/>
    <w:rsid w:val="00A83FD9"/>
    <w:rsid w:val="00AA1176"/>
    <w:rsid w:val="00AC7FD9"/>
    <w:rsid w:val="00AE2849"/>
    <w:rsid w:val="00B04E53"/>
    <w:rsid w:val="00B070CF"/>
    <w:rsid w:val="00B32D47"/>
    <w:rsid w:val="00B41E2E"/>
    <w:rsid w:val="00B80B90"/>
    <w:rsid w:val="00BB09CD"/>
    <w:rsid w:val="00BB7833"/>
    <w:rsid w:val="00C31570"/>
    <w:rsid w:val="00C426CF"/>
    <w:rsid w:val="00C42FF4"/>
    <w:rsid w:val="00C64045"/>
    <w:rsid w:val="00C655C6"/>
    <w:rsid w:val="00C77A46"/>
    <w:rsid w:val="00C80CF8"/>
    <w:rsid w:val="00C820BA"/>
    <w:rsid w:val="00CC2695"/>
    <w:rsid w:val="00CE0683"/>
    <w:rsid w:val="00CF6BE5"/>
    <w:rsid w:val="00D008D8"/>
    <w:rsid w:val="00D35FA4"/>
    <w:rsid w:val="00D60989"/>
    <w:rsid w:val="00D86919"/>
    <w:rsid w:val="00D90101"/>
    <w:rsid w:val="00D967F4"/>
    <w:rsid w:val="00DA50F0"/>
    <w:rsid w:val="00DA7E77"/>
    <w:rsid w:val="00DB18E8"/>
    <w:rsid w:val="00DB266C"/>
    <w:rsid w:val="00DC4C7A"/>
    <w:rsid w:val="00DD2CD2"/>
    <w:rsid w:val="00DE153A"/>
    <w:rsid w:val="00DF3EC7"/>
    <w:rsid w:val="00E04E96"/>
    <w:rsid w:val="00E118DA"/>
    <w:rsid w:val="00E12B84"/>
    <w:rsid w:val="00E34E6D"/>
    <w:rsid w:val="00E36DE8"/>
    <w:rsid w:val="00E54536"/>
    <w:rsid w:val="00E655C3"/>
    <w:rsid w:val="00EC095B"/>
    <w:rsid w:val="00ED51B6"/>
    <w:rsid w:val="00EF1421"/>
    <w:rsid w:val="00F0088C"/>
    <w:rsid w:val="00F00ABC"/>
    <w:rsid w:val="00F04DE8"/>
    <w:rsid w:val="00F116FA"/>
    <w:rsid w:val="00F21B1D"/>
    <w:rsid w:val="00F225AD"/>
    <w:rsid w:val="00F34CFD"/>
    <w:rsid w:val="00F44810"/>
    <w:rsid w:val="00F44914"/>
    <w:rsid w:val="00FA5DEC"/>
    <w:rsid w:val="00FA78FD"/>
    <w:rsid w:val="00FB552D"/>
    <w:rsid w:val="00FC0679"/>
    <w:rsid w:val="00FC1F70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E3CF6AF"/>
  <w15:docId w15:val="{EC975769-44B7-41B2-9FC0-CB8B2E4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9A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CF3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F359A"/>
    <w:rPr>
      <w:rFonts w:ascii="Arial" w:eastAsia="Times New Roman" w:hAnsi="Arial" w:cs="Arial"/>
      <w:b/>
      <w:bCs/>
      <w:sz w:val="26"/>
      <w:szCs w:val="26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B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3B48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3B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3B48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C6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A6"/>
  </w:style>
  <w:style w:type="character" w:customStyle="1" w:styleId="CommentTextChar">
    <w:name w:val="Comment Text Char"/>
    <w:link w:val="CommentText"/>
    <w:uiPriority w:val="99"/>
    <w:semiHidden/>
    <w:rsid w:val="00E91BA6"/>
    <w:rPr>
      <w:rFonts w:ascii="Times New Roman" w:eastAsia="Times New Roman" w:hAnsi="Times New Roman"/>
    </w:rPr>
  </w:style>
  <w:style w:type="character" w:styleId="Hyperlink">
    <w:name w:val="Hyperlink"/>
    <w:rsid w:val="00995E71"/>
    <w:rPr>
      <w:color w:val="0000FF"/>
      <w:u w:val="single"/>
    </w:rPr>
  </w:style>
  <w:style w:type="paragraph" w:customStyle="1" w:styleId="Level1">
    <w:name w:val="Level 1"/>
    <w:basedOn w:val="Normal"/>
    <w:rsid w:val="00995E71"/>
    <w:pPr>
      <w:widowControl w:val="0"/>
      <w:autoSpaceDE w:val="0"/>
      <w:autoSpaceDN w:val="0"/>
      <w:adjustRightInd w:val="0"/>
      <w:ind w:left="240" w:hanging="240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6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66B0"/>
    <w:rPr>
      <w:rFonts w:ascii="Times New Roman" w:eastAsia="Times New Roman" w:hAnsi="Times New Roman"/>
      <w:b/>
      <w:bCs/>
    </w:rPr>
  </w:style>
  <w:style w:type="character" w:styleId="LineNumber">
    <w:name w:val="line number"/>
    <w:uiPriority w:val="99"/>
    <w:semiHidden/>
    <w:unhideWhenUsed/>
    <w:rsid w:val="008F2C42"/>
  </w:style>
  <w:style w:type="character" w:styleId="HTMLDefinition">
    <w:name w:val="HTML Definition"/>
    <w:uiPriority w:val="99"/>
    <w:semiHidden/>
    <w:unhideWhenUsed/>
    <w:rsid w:val="007D5735"/>
    <w:rPr>
      <w:i/>
      <w:iCs/>
    </w:rPr>
  </w:style>
  <w:style w:type="character" w:customStyle="1" w:styleId="hit">
    <w:name w:val="hit"/>
    <w:rsid w:val="007D5735"/>
    <w:rPr>
      <w:color w:val="000000"/>
      <w:shd w:val="clear" w:color="auto" w:fill="FFFF00"/>
    </w:rPr>
  </w:style>
  <w:style w:type="paragraph" w:styleId="PlainText">
    <w:name w:val="Plain Text"/>
    <w:basedOn w:val="Normal"/>
    <w:link w:val="PlainTextChar"/>
    <w:uiPriority w:val="99"/>
    <w:unhideWhenUsed/>
    <w:rsid w:val="007F6CE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F6CE7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CC2695"/>
    <w:rPr>
      <w:color w:val="954F72"/>
      <w:u w:val="single"/>
    </w:rPr>
  </w:style>
  <w:style w:type="table" w:styleId="TableGrid">
    <w:name w:val="Table Grid"/>
    <w:basedOn w:val="TableNormal"/>
    <w:uiPriority w:val="59"/>
    <w:rsid w:val="0035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MAS@cer-rec.g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-rec.gc.ca/en/consultation-engagement/alternative-dispute-resolu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er-rec.gc.ca/prtcptn/tmpltpblcprtcptn-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-rec.gc.ca/FilingManua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07BCF-6E69-4033-BC82-07B8BAB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Abandonment</vt:lpstr>
    </vt:vector>
  </TitlesOfParts>
  <Company>Canada Energy Regulator</Company>
  <LinksUpToDate>false</LinksUpToDate>
  <CharactersWithSpaces>3169</CharactersWithSpaces>
  <SharedDoc>false</SharedDoc>
  <HLinks>
    <vt:vector size="48" baseType="variant">
      <vt:variant>
        <vt:i4>3014658</vt:i4>
      </vt:variant>
      <vt:variant>
        <vt:i4>23</vt:i4>
      </vt:variant>
      <vt:variant>
        <vt:i4>0</vt:i4>
      </vt:variant>
      <vt:variant>
        <vt:i4>5</vt:i4>
      </vt:variant>
      <vt:variant>
        <vt:lpwstr>mailto:Info@cer-rec.gc.ca</vt:lpwstr>
      </vt:variant>
      <vt:variant>
        <vt:lpwstr/>
      </vt:variant>
      <vt:variant>
        <vt:i4>6946934</vt:i4>
      </vt:variant>
      <vt:variant>
        <vt:i4>20</vt:i4>
      </vt:variant>
      <vt:variant>
        <vt:i4>0</vt:i4>
      </vt:variant>
      <vt:variant>
        <vt:i4>5</vt:i4>
      </vt:variant>
      <vt:variant>
        <vt:lpwstr>http://www.cer-rec.gc.ca/efile</vt:lpwstr>
      </vt:variant>
      <vt:variant>
        <vt:lpwstr/>
      </vt:variant>
      <vt:variant>
        <vt:i4>1048600</vt:i4>
      </vt:variant>
      <vt:variant>
        <vt:i4>15</vt:i4>
      </vt:variant>
      <vt:variant>
        <vt:i4>0</vt:i4>
      </vt:variant>
      <vt:variant>
        <vt:i4>5</vt:i4>
      </vt:variant>
      <vt:variant>
        <vt:lpwstr>http://www.cer-rec.gc.ca/ADR</vt:lpwstr>
      </vt:variant>
      <vt:variant>
        <vt:lpwstr/>
      </vt:variant>
      <vt:variant>
        <vt:i4>3014658</vt:i4>
      </vt:variant>
      <vt:variant>
        <vt:i4>12</vt:i4>
      </vt:variant>
      <vt:variant>
        <vt:i4>0</vt:i4>
      </vt:variant>
      <vt:variant>
        <vt:i4>5</vt:i4>
      </vt:variant>
      <vt:variant>
        <vt:lpwstr>mailto:Info@cer-rec.gc.ca</vt:lpwstr>
      </vt:variant>
      <vt:variant>
        <vt:lpwstr/>
      </vt:variant>
      <vt:variant>
        <vt:i4>3014658</vt:i4>
      </vt:variant>
      <vt:variant>
        <vt:i4>9</vt:i4>
      </vt:variant>
      <vt:variant>
        <vt:i4>0</vt:i4>
      </vt:variant>
      <vt:variant>
        <vt:i4>5</vt:i4>
      </vt:variant>
      <vt:variant>
        <vt:lpwstr>mailto:Info@cer-rec.gc.ca</vt:lpwstr>
      </vt:variant>
      <vt:variant>
        <vt:lpwstr/>
      </vt:variant>
      <vt:variant>
        <vt:i4>1048600</vt:i4>
      </vt:variant>
      <vt:variant>
        <vt:i4>6</vt:i4>
      </vt:variant>
      <vt:variant>
        <vt:i4>0</vt:i4>
      </vt:variant>
      <vt:variant>
        <vt:i4>5</vt:i4>
      </vt:variant>
      <vt:variant>
        <vt:lpwstr>http://www.cer-rec.gc.ca/ADR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http://www.cer-rec.gc.ca/efile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http://www.cer-rec.gc.ca/FilingManual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Abandonment - Subsection 241(1) of the Canadian Energy Regulator Act</dc:title>
  <dc:subject>Notice of Proposed Abandonment - Subsection 241(1) of the Canadian Energy Regulator Act</dc:subject>
  <dc:creator>Erin Dutcher</dc:creator>
  <cp:lastModifiedBy>Elizabeth Arden</cp:lastModifiedBy>
  <cp:revision>2</cp:revision>
  <cp:lastPrinted>2019-02-19T15:58:00Z</cp:lastPrinted>
  <dcterms:created xsi:type="dcterms:W3CDTF">2020-12-07T13:04:00Z</dcterms:created>
  <dcterms:modified xsi:type="dcterms:W3CDTF">2020-12-07T13:04:00Z</dcterms:modified>
</cp:coreProperties>
</file>